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1A6F" w14:textId="6EF208A2" w:rsidR="007E75C5" w:rsidRPr="0083199D"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color w:val="000000"/>
          <w:sz w:val="28"/>
          <w:szCs w:val="28"/>
        </w:rPr>
      </w:pPr>
      <w:r>
        <w:rPr>
          <w:b/>
          <w:color w:val="000000"/>
          <w:sz w:val="28"/>
          <w:szCs w:val="28"/>
        </w:rPr>
        <w:t>Allgemeine</w:t>
      </w:r>
      <w:r w:rsidRPr="0083199D">
        <w:rPr>
          <w:b/>
          <w:color w:val="000000"/>
          <w:sz w:val="28"/>
          <w:szCs w:val="28"/>
        </w:rPr>
        <w:t xml:space="preserve"> Vorbemerkungen für Verkleidungen</w:t>
      </w:r>
    </w:p>
    <w:p w14:paraId="1C72EBB1"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7FC8B732"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color w:val="000000"/>
          <w:sz w:val="22"/>
          <w:szCs w:val="22"/>
        </w:rPr>
      </w:pPr>
    </w:p>
    <w:p w14:paraId="5228E775"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color w:val="000000"/>
          <w:sz w:val="22"/>
          <w:szCs w:val="22"/>
        </w:rPr>
      </w:pPr>
      <w:r w:rsidRPr="003940EF">
        <w:rPr>
          <w:b/>
          <w:color w:val="000000"/>
          <w:sz w:val="22"/>
          <w:szCs w:val="22"/>
        </w:rPr>
        <w:t>Vergabe- und Vertragsordnung für Bauleistungen (VOB)</w:t>
      </w:r>
      <w:r w:rsidRPr="002F5F65">
        <w:rPr>
          <w:b/>
          <w:color w:val="000000"/>
          <w:sz w:val="22"/>
          <w:szCs w:val="22"/>
        </w:rPr>
        <w:t>:</w:t>
      </w:r>
    </w:p>
    <w:p w14:paraId="06445BBC" w14:textId="7777777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077FE1D0" w14:textId="7777777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r w:rsidRPr="002F5F65">
        <w:rPr>
          <w:color w:val="000000"/>
          <w:sz w:val="22"/>
          <w:szCs w:val="22"/>
        </w:rPr>
        <w:t>Neben den allgemeinen Vertragsbedingungen und diesen technischen Vorbemerkungen gilt die VOB (Teil B, C), neueste Fassung.</w:t>
      </w:r>
    </w:p>
    <w:p w14:paraId="5006A9F9"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2AB3A540"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sz w:val="22"/>
          <w:szCs w:val="22"/>
        </w:rPr>
      </w:pPr>
      <w:r w:rsidRPr="002F5F65">
        <w:rPr>
          <w:b/>
          <w:sz w:val="22"/>
          <w:szCs w:val="22"/>
        </w:rPr>
        <w:t>Normen/ Richtlinien:</w:t>
      </w:r>
    </w:p>
    <w:p w14:paraId="48D76263" w14:textId="7777777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p>
    <w:p w14:paraId="09E65D83"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r w:rsidRPr="002F5F65">
        <w:rPr>
          <w:sz w:val="22"/>
          <w:szCs w:val="22"/>
        </w:rPr>
        <w:t>Angegebene bzw. zitierte Normen, Richtlinien und Verordnungen gelten jeweils in ihrer aktuellen Ausgabe bzw. deren Ersatzwerke.</w:t>
      </w:r>
    </w:p>
    <w:p w14:paraId="659E337E"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sz w:val="22"/>
          <w:szCs w:val="22"/>
        </w:rPr>
      </w:pPr>
    </w:p>
    <w:p w14:paraId="012A5EDD"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sz w:val="22"/>
          <w:szCs w:val="22"/>
        </w:rPr>
      </w:pPr>
      <w:r w:rsidRPr="002F5F65">
        <w:rPr>
          <w:b/>
          <w:sz w:val="22"/>
          <w:szCs w:val="22"/>
        </w:rPr>
        <w:t xml:space="preserve">Statische Anforderungen: </w:t>
      </w:r>
    </w:p>
    <w:p w14:paraId="518601F3" w14:textId="7777777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p>
    <w:p w14:paraId="1D05B3ED" w14:textId="70677D59"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r w:rsidRPr="002F5F65">
        <w:rPr>
          <w:sz w:val="22"/>
          <w:szCs w:val="22"/>
        </w:rPr>
        <w:t>Die Verkleidung muss so am Fenster oder Baukörper befestigt werden, dass alle auf sie einwirkenden Kräfte in den Baukörper abgeleitet werden. Zusätzliche Lasten aus dem Baukörper dürfen nicht von der Verkleidung aufgenommen werden.</w:t>
      </w:r>
    </w:p>
    <w:p w14:paraId="4D40A409" w14:textId="43E1CBE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p>
    <w:p w14:paraId="7D9806DB" w14:textId="77777777" w:rsidR="007E75C5" w:rsidRPr="002F5F65" w:rsidRDefault="007E75C5" w:rsidP="007E75C5">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b/>
          <w:sz w:val="22"/>
          <w:szCs w:val="22"/>
        </w:rPr>
      </w:pPr>
      <w:r w:rsidRPr="002F5F65">
        <w:rPr>
          <w:b/>
          <w:sz w:val="22"/>
          <w:szCs w:val="22"/>
        </w:rPr>
        <w:t>Wärme- und Feuchtigkeitsschutz:</w:t>
      </w:r>
    </w:p>
    <w:p w14:paraId="4C4C0C20" w14:textId="77777777" w:rsidR="007E75C5" w:rsidRDefault="007E75C5" w:rsidP="007E75C5">
      <w:pPr>
        <w:pStyle w:val="Normal"/>
        <w:tabs>
          <w:tab w:val="left" w:pos="1414"/>
          <w:tab w:val="left" w:pos="1698"/>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sz w:val="22"/>
          <w:szCs w:val="22"/>
        </w:rPr>
      </w:pPr>
    </w:p>
    <w:p w14:paraId="1C79F82D" w14:textId="77777777" w:rsidR="007E75C5" w:rsidRDefault="007E75C5" w:rsidP="007E75C5">
      <w:pPr>
        <w:pStyle w:val="Normal"/>
        <w:tabs>
          <w:tab w:val="left" w:pos="1414"/>
          <w:tab w:val="left" w:pos="1698"/>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sz w:val="22"/>
          <w:szCs w:val="22"/>
        </w:rPr>
      </w:pPr>
      <w:r w:rsidRPr="002F5F65">
        <w:rPr>
          <w:sz w:val="22"/>
          <w:szCs w:val="22"/>
        </w:rPr>
        <w:t>Für die Anforderungen an den Wärmeschutz gelten:</w:t>
      </w:r>
    </w:p>
    <w:p w14:paraId="0E3293F1" w14:textId="7062FF20" w:rsidR="007E75C5" w:rsidRPr="002F5F65" w:rsidRDefault="007E75C5" w:rsidP="007E75C5">
      <w:pPr>
        <w:pStyle w:val="Normal"/>
        <w:tabs>
          <w:tab w:val="left" w:pos="1414"/>
          <w:tab w:val="left" w:pos="1698"/>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sz w:val="22"/>
          <w:szCs w:val="22"/>
        </w:rPr>
      </w:pPr>
      <w:r>
        <w:rPr>
          <w:sz w:val="22"/>
          <w:szCs w:val="22"/>
        </w:rPr>
        <w:t>DIN 4108-2</w:t>
      </w:r>
      <w:r w:rsidR="00D47EB7">
        <w:rPr>
          <w:sz w:val="22"/>
          <w:szCs w:val="22"/>
        </w:rPr>
        <w:t xml:space="preserve"> </w:t>
      </w:r>
      <w:r w:rsidRPr="006F191C">
        <w:rPr>
          <w:sz w:val="22"/>
          <w:szCs w:val="22"/>
        </w:rPr>
        <w:t>Mindestanforderungen an den Wärmeschutz</w:t>
      </w:r>
    </w:p>
    <w:p w14:paraId="456243DD" w14:textId="77777777" w:rsidR="007E75C5" w:rsidRDefault="007E75C5" w:rsidP="007E75C5">
      <w:pPr>
        <w:pStyle w:val="Normal"/>
        <w:tabs>
          <w:tab w:val="left" w:pos="707"/>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color w:val="000000"/>
          <w:sz w:val="22"/>
          <w:szCs w:val="22"/>
        </w:rPr>
      </w:pPr>
      <w:r w:rsidRPr="002F5F65">
        <w:rPr>
          <w:color w:val="000000"/>
          <w:sz w:val="22"/>
          <w:szCs w:val="22"/>
        </w:rPr>
        <w:t>Die Einwirkung von Schlagregen und Tauwasser ist so zu begrenzen, dass Schäden vermieden werden,</w:t>
      </w:r>
      <w:r>
        <w:rPr>
          <w:color w:val="000000"/>
          <w:sz w:val="22"/>
          <w:szCs w:val="22"/>
        </w:rPr>
        <w:t xml:space="preserve"> </w:t>
      </w:r>
      <w:r w:rsidRPr="002F5F65">
        <w:rPr>
          <w:color w:val="000000"/>
          <w:sz w:val="22"/>
          <w:szCs w:val="22"/>
        </w:rPr>
        <w:t>z. B. unzulässige Minderung des Wärmeschutzes.</w:t>
      </w:r>
    </w:p>
    <w:p w14:paraId="65D261C8" w14:textId="77777777" w:rsidR="007E75C5" w:rsidRDefault="007E75C5" w:rsidP="007E75C5">
      <w:pPr>
        <w:pStyle w:val="Normal"/>
        <w:tabs>
          <w:tab w:val="left" w:pos="707"/>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color w:val="000000"/>
          <w:sz w:val="22"/>
          <w:szCs w:val="22"/>
        </w:rPr>
      </w:pPr>
    </w:p>
    <w:p w14:paraId="77BC4BC5" w14:textId="77777777" w:rsidR="007E75C5" w:rsidRPr="002F5F6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b/>
          <w:color w:val="000000"/>
          <w:sz w:val="22"/>
          <w:szCs w:val="22"/>
        </w:rPr>
      </w:pPr>
      <w:r w:rsidRPr="002F5F65">
        <w:rPr>
          <w:b/>
          <w:color w:val="000000"/>
          <w:sz w:val="22"/>
          <w:szCs w:val="22"/>
        </w:rPr>
        <w:t>Verkleidungsart</w:t>
      </w:r>
      <w:r>
        <w:rPr>
          <w:b/>
          <w:color w:val="000000"/>
          <w:sz w:val="22"/>
          <w:szCs w:val="22"/>
        </w:rPr>
        <w:t>:</w:t>
      </w:r>
    </w:p>
    <w:p w14:paraId="0DB3C9B8" w14:textId="77777777" w:rsidR="007E75C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sz w:val="22"/>
          <w:szCs w:val="22"/>
        </w:rPr>
      </w:pPr>
    </w:p>
    <w:p w14:paraId="454E42C7" w14:textId="593D5C12" w:rsidR="007E75C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sz w:val="22"/>
          <w:szCs w:val="22"/>
        </w:rPr>
      </w:pPr>
      <w:r w:rsidRPr="002F5F65">
        <w:rPr>
          <w:sz w:val="22"/>
          <w:szCs w:val="22"/>
        </w:rPr>
        <w:t xml:space="preserve">Die Verkleidung muss aus einer folienbeschichteten, </w:t>
      </w:r>
      <w:proofErr w:type="spellStart"/>
      <w:r w:rsidRPr="002F5F65">
        <w:rPr>
          <w:sz w:val="22"/>
          <w:szCs w:val="22"/>
        </w:rPr>
        <w:t>kantbaren</w:t>
      </w:r>
      <w:proofErr w:type="spellEnd"/>
      <w:r w:rsidRPr="002F5F65">
        <w:rPr>
          <w:sz w:val="22"/>
          <w:szCs w:val="22"/>
        </w:rPr>
        <w:t xml:space="preserve"> Aluminium-Verbundplatte bestehen. Die Beschichtungsfolie muss </w:t>
      </w:r>
      <w:r w:rsidR="00F86B7D" w:rsidRPr="0039470F">
        <w:rPr>
          <w:sz w:val="22"/>
          <w:szCs w:val="22"/>
        </w:rPr>
        <w:t xml:space="preserve">im Winkel von 180° </w:t>
      </w:r>
      <w:r w:rsidR="00D47EB7" w:rsidRPr="0039470F">
        <w:rPr>
          <w:sz w:val="22"/>
          <w:szCs w:val="22"/>
        </w:rPr>
        <w:t>bis 90°</w:t>
      </w:r>
      <w:r w:rsidRPr="0039470F">
        <w:rPr>
          <w:sz w:val="22"/>
          <w:szCs w:val="22"/>
        </w:rPr>
        <w:t xml:space="preserve"> kaltverformbar</w:t>
      </w:r>
      <w:r w:rsidRPr="002F5F65">
        <w:rPr>
          <w:sz w:val="22"/>
          <w:szCs w:val="22"/>
        </w:rPr>
        <w:t xml:space="preserve"> sein.</w:t>
      </w:r>
    </w:p>
    <w:p w14:paraId="643C0E2F" w14:textId="77777777" w:rsidR="001F2086" w:rsidRDefault="001F2086"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sz w:val="22"/>
          <w:szCs w:val="22"/>
        </w:rPr>
      </w:pPr>
    </w:p>
    <w:p w14:paraId="61E9A73A" w14:textId="77777777" w:rsidR="001F2086" w:rsidRPr="007E75C5" w:rsidRDefault="001F2086" w:rsidP="001F2086">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bCs/>
          <w:sz w:val="22"/>
          <w:szCs w:val="22"/>
        </w:rPr>
      </w:pPr>
      <w:r w:rsidRPr="007E75C5">
        <w:rPr>
          <w:b/>
          <w:bCs/>
          <w:sz w:val="22"/>
          <w:szCs w:val="22"/>
        </w:rPr>
        <w:t>Technische Merkmale:</w:t>
      </w:r>
    </w:p>
    <w:p w14:paraId="5BC15561" w14:textId="77777777" w:rsidR="001F2086" w:rsidRPr="002F5F65" w:rsidRDefault="001F2086" w:rsidP="001F2086">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p>
    <w:p w14:paraId="22F54700" w14:textId="77777777" w:rsidR="001F2086" w:rsidRPr="002F5F65" w:rsidRDefault="001F2086" w:rsidP="001F2086">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r w:rsidRPr="002F5F65">
        <w:rPr>
          <w:sz w:val="22"/>
          <w:szCs w:val="22"/>
        </w:rPr>
        <w:t>Widerstandsmoment nach DIN 53293</w:t>
      </w:r>
      <w:r w:rsidRPr="002F5F65">
        <w:rPr>
          <w:sz w:val="22"/>
          <w:szCs w:val="22"/>
        </w:rPr>
        <w:tab/>
      </w:r>
      <w:r w:rsidRPr="002F5F65">
        <w:rPr>
          <w:sz w:val="22"/>
          <w:szCs w:val="22"/>
        </w:rPr>
        <w:tab/>
      </w:r>
      <w:r>
        <w:rPr>
          <w:sz w:val="22"/>
          <w:szCs w:val="22"/>
        </w:rPr>
        <w:t xml:space="preserve">&gt; </w:t>
      </w:r>
      <w:r w:rsidRPr="002F5F65">
        <w:rPr>
          <w:sz w:val="22"/>
          <w:szCs w:val="22"/>
        </w:rPr>
        <w:t>1,5 cm</w:t>
      </w:r>
      <w:r w:rsidRPr="002F5F65">
        <w:rPr>
          <w:sz w:val="22"/>
          <w:szCs w:val="22"/>
          <w:vertAlign w:val="superscript"/>
        </w:rPr>
        <w:t>3</w:t>
      </w:r>
      <w:r w:rsidRPr="002F5F65">
        <w:rPr>
          <w:sz w:val="22"/>
          <w:szCs w:val="22"/>
        </w:rPr>
        <w:t>/m</w:t>
      </w:r>
    </w:p>
    <w:p w14:paraId="36B19FE5" w14:textId="77777777" w:rsidR="001F2086" w:rsidRPr="002F5F65" w:rsidRDefault="001F2086" w:rsidP="001F2086">
      <w:pPr>
        <w:pStyle w:val="Normal"/>
        <w:tabs>
          <w:tab w:val="left" w:pos="703"/>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r w:rsidRPr="002F5F65">
        <w:rPr>
          <w:sz w:val="22"/>
          <w:szCs w:val="22"/>
        </w:rPr>
        <w:t>Elastizitätsmodul nach DIN EN 1999 1 – 1</w:t>
      </w:r>
      <w:r w:rsidRPr="002F5F65">
        <w:rPr>
          <w:sz w:val="22"/>
          <w:szCs w:val="22"/>
        </w:rPr>
        <w:tab/>
      </w:r>
      <w:r w:rsidRPr="002F5F65">
        <w:rPr>
          <w:sz w:val="22"/>
          <w:szCs w:val="22"/>
        </w:rPr>
        <w:tab/>
        <w:t>7.000 N/mm</w:t>
      </w:r>
      <w:r w:rsidRPr="002F5F65">
        <w:rPr>
          <w:sz w:val="22"/>
          <w:szCs w:val="22"/>
          <w:vertAlign w:val="superscript"/>
        </w:rPr>
        <w:t>2</w:t>
      </w:r>
    </w:p>
    <w:p w14:paraId="574FE650"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Zugfestigkeit nach DIN EN 1396</w:t>
      </w:r>
      <w:r w:rsidRPr="002F5F65">
        <w:rPr>
          <w:sz w:val="22"/>
          <w:szCs w:val="22"/>
        </w:rPr>
        <w:tab/>
      </w:r>
      <w:r w:rsidRPr="002F5F65">
        <w:rPr>
          <w:sz w:val="22"/>
          <w:szCs w:val="22"/>
        </w:rPr>
        <w:tab/>
      </w:r>
      <w:r w:rsidRPr="002F5F65">
        <w:rPr>
          <w:sz w:val="22"/>
          <w:szCs w:val="22"/>
        </w:rPr>
        <w:tab/>
        <w:t>≥ 150 N/mm</w:t>
      </w:r>
      <w:r w:rsidRPr="002F5F65">
        <w:rPr>
          <w:sz w:val="22"/>
          <w:szCs w:val="22"/>
          <w:vertAlign w:val="superscript"/>
        </w:rPr>
        <w:t>2</w:t>
      </w:r>
    </w:p>
    <w:p w14:paraId="2F4367E6"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Lineare Wärmeausdehnung</w:t>
      </w:r>
      <w:r w:rsidRPr="002F5F65">
        <w:rPr>
          <w:sz w:val="22"/>
          <w:szCs w:val="22"/>
        </w:rPr>
        <w:tab/>
      </w:r>
      <w:r w:rsidRPr="002F5F65">
        <w:rPr>
          <w:sz w:val="22"/>
          <w:szCs w:val="22"/>
        </w:rPr>
        <w:tab/>
      </w:r>
      <w:r w:rsidRPr="002F5F65">
        <w:rPr>
          <w:sz w:val="22"/>
          <w:szCs w:val="22"/>
        </w:rPr>
        <w:tab/>
      </w:r>
      <w:r w:rsidRPr="002F5F65">
        <w:rPr>
          <w:sz w:val="22"/>
          <w:szCs w:val="22"/>
        </w:rPr>
        <w:tab/>
        <w:t>≤ 2,4 mm/m (∆T = 100° C)</w:t>
      </w:r>
    </w:p>
    <w:p w14:paraId="47F5BE6B"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p>
    <w:p w14:paraId="3996DCDF" w14:textId="77777777" w:rsidR="001F2086" w:rsidRPr="002F5F65" w:rsidRDefault="001F2086" w:rsidP="001F2086">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sz w:val="22"/>
          <w:szCs w:val="22"/>
        </w:rPr>
      </w:pPr>
      <w:r w:rsidRPr="002F5F65">
        <w:rPr>
          <w:b/>
          <w:sz w:val="22"/>
          <w:szCs w:val="22"/>
        </w:rPr>
        <w:t xml:space="preserve">Anforderungen an die Oberfläche: </w:t>
      </w:r>
    </w:p>
    <w:p w14:paraId="6BA43438"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p>
    <w:p w14:paraId="1574470D"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Kratzfestigkeit nach DIN EN 15186</w:t>
      </w:r>
      <w:r w:rsidRPr="002F5F65">
        <w:rPr>
          <w:sz w:val="22"/>
          <w:szCs w:val="22"/>
        </w:rPr>
        <w:tab/>
      </w:r>
      <w:r w:rsidRPr="002F5F65">
        <w:rPr>
          <w:sz w:val="22"/>
          <w:szCs w:val="22"/>
        </w:rPr>
        <w:tab/>
      </w:r>
      <w:r w:rsidRPr="002F5F65">
        <w:rPr>
          <w:sz w:val="22"/>
          <w:szCs w:val="22"/>
        </w:rPr>
        <w:tab/>
        <w:t xml:space="preserve">≥ 0,2 </w:t>
      </w:r>
      <w:proofErr w:type="spellStart"/>
      <w:r w:rsidRPr="002F5F65">
        <w:rPr>
          <w:sz w:val="22"/>
          <w:szCs w:val="22"/>
        </w:rPr>
        <w:t>cN</w:t>
      </w:r>
      <w:proofErr w:type="spellEnd"/>
    </w:p>
    <w:p w14:paraId="28D67732"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IR-Reflektion nach DIN EN 410</w:t>
      </w:r>
      <w:r w:rsidRPr="002F5F65">
        <w:rPr>
          <w:sz w:val="22"/>
          <w:szCs w:val="22"/>
        </w:rPr>
        <w:tab/>
      </w:r>
      <w:r w:rsidRPr="002F5F65">
        <w:rPr>
          <w:sz w:val="22"/>
          <w:szCs w:val="22"/>
        </w:rPr>
        <w:tab/>
      </w:r>
      <w:r w:rsidRPr="002F5F65">
        <w:rPr>
          <w:sz w:val="22"/>
          <w:szCs w:val="22"/>
        </w:rPr>
        <w:tab/>
        <w:t>≥ 20 %</w:t>
      </w:r>
    </w:p>
    <w:p w14:paraId="46A778DA"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Wetterechtheit nach DIN EN 513</w:t>
      </w:r>
      <w:r w:rsidRPr="002F5F65">
        <w:rPr>
          <w:sz w:val="22"/>
          <w:szCs w:val="22"/>
        </w:rPr>
        <w:tab/>
      </w:r>
      <w:r w:rsidRPr="002F5F65">
        <w:rPr>
          <w:sz w:val="22"/>
          <w:szCs w:val="22"/>
        </w:rPr>
        <w:tab/>
      </w:r>
      <w:r w:rsidRPr="002F5F65">
        <w:rPr>
          <w:sz w:val="22"/>
          <w:szCs w:val="22"/>
        </w:rPr>
        <w:tab/>
        <w:t>20GJ/m</w:t>
      </w:r>
      <w:r w:rsidRPr="002F5F65">
        <w:rPr>
          <w:sz w:val="22"/>
          <w:szCs w:val="22"/>
          <w:vertAlign w:val="superscript"/>
        </w:rPr>
        <w:t>2</w:t>
      </w:r>
    </w:p>
    <w:p w14:paraId="21D42C2C" w14:textId="77777777" w:rsidR="001F2086" w:rsidRPr="007E3A0F"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i/>
          <w:sz w:val="18"/>
          <w:szCs w:val="18"/>
        </w:rPr>
      </w:pPr>
      <w:r w:rsidRPr="007E3A0F">
        <w:rPr>
          <w:i/>
          <w:sz w:val="18"/>
          <w:szCs w:val="18"/>
        </w:rPr>
        <w:t>(ISO 105-A02 Bewertung)</w:t>
      </w:r>
      <w:r w:rsidRPr="007E3A0F">
        <w:rPr>
          <w:i/>
          <w:sz w:val="18"/>
          <w:szCs w:val="18"/>
        </w:rPr>
        <w:tab/>
      </w:r>
      <w:r w:rsidRPr="007E3A0F">
        <w:rPr>
          <w:i/>
          <w:sz w:val="18"/>
          <w:szCs w:val="18"/>
        </w:rPr>
        <w:tab/>
      </w:r>
      <w:r w:rsidRPr="007E3A0F">
        <w:rPr>
          <w:i/>
          <w:sz w:val="18"/>
          <w:szCs w:val="18"/>
        </w:rPr>
        <w:tab/>
      </w:r>
      <w:r w:rsidRPr="007E3A0F">
        <w:rPr>
          <w:i/>
          <w:sz w:val="18"/>
          <w:szCs w:val="18"/>
        </w:rPr>
        <w:tab/>
      </w:r>
      <w:r>
        <w:rPr>
          <w:i/>
          <w:sz w:val="18"/>
          <w:szCs w:val="18"/>
        </w:rPr>
        <w:tab/>
      </w:r>
      <w:r w:rsidRPr="007E3A0F">
        <w:rPr>
          <w:i/>
          <w:sz w:val="18"/>
          <w:szCs w:val="18"/>
        </w:rPr>
        <w:t>≥ 3 GM</w:t>
      </w:r>
    </w:p>
    <w:p w14:paraId="63AF59D1" w14:textId="77777777" w:rsidR="001F2086"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UV-Beständigkeit nach DIN EN 13523 – 10</w:t>
      </w:r>
      <w:r w:rsidRPr="002F5F65">
        <w:rPr>
          <w:sz w:val="22"/>
          <w:szCs w:val="22"/>
        </w:rPr>
        <w:tab/>
      </w:r>
      <w:r w:rsidRPr="002F5F65">
        <w:rPr>
          <w:sz w:val="22"/>
          <w:szCs w:val="22"/>
        </w:rPr>
        <w:tab/>
        <w:t>≥ 4 GM</w:t>
      </w:r>
    </w:p>
    <w:p w14:paraId="59158BDA" w14:textId="77777777" w:rsidR="001F2086" w:rsidRPr="007E3A0F"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i/>
          <w:sz w:val="18"/>
          <w:szCs w:val="18"/>
        </w:rPr>
      </w:pPr>
      <w:r w:rsidRPr="007E3A0F">
        <w:rPr>
          <w:i/>
          <w:sz w:val="18"/>
          <w:szCs w:val="18"/>
        </w:rPr>
        <w:t>(UV-B; 4.000h Bewertung)</w:t>
      </w:r>
      <w:r w:rsidRPr="007E3A0F">
        <w:rPr>
          <w:i/>
          <w:sz w:val="18"/>
          <w:szCs w:val="18"/>
        </w:rPr>
        <w:tab/>
      </w:r>
      <w:r w:rsidRPr="007E3A0F">
        <w:rPr>
          <w:i/>
          <w:sz w:val="18"/>
          <w:szCs w:val="18"/>
        </w:rPr>
        <w:tab/>
      </w:r>
      <w:r w:rsidRPr="007E3A0F">
        <w:rPr>
          <w:i/>
          <w:sz w:val="18"/>
          <w:szCs w:val="18"/>
        </w:rPr>
        <w:tab/>
      </w:r>
      <w:r w:rsidRPr="007E3A0F">
        <w:rPr>
          <w:i/>
          <w:sz w:val="18"/>
          <w:szCs w:val="18"/>
        </w:rPr>
        <w:tab/>
        <w:t>&lt; 0,7 ΔE</w:t>
      </w:r>
    </w:p>
    <w:p w14:paraId="2AA31DBD"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Reibechtheit nach ISO 105 – X 12</w:t>
      </w:r>
      <w:r w:rsidRPr="002F5F65">
        <w:rPr>
          <w:sz w:val="22"/>
          <w:szCs w:val="22"/>
        </w:rPr>
        <w:tab/>
      </w:r>
      <w:r w:rsidRPr="002F5F65">
        <w:rPr>
          <w:sz w:val="22"/>
          <w:szCs w:val="22"/>
        </w:rPr>
        <w:tab/>
      </w:r>
      <w:r w:rsidRPr="002F5F65">
        <w:rPr>
          <w:sz w:val="22"/>
          <w:szCs w:val="22"/>
        </w:rPr>
        <w:tab/>
        <w:t>Note 5</w:t>
      </w:r>
    </w:p>
    <w:p w14:paraId="6EF902B4" w14:textId="77777777" w:rsidR="001F2086" w:rsidRPr="002F5F65" w:rsidRDefault="001F2086"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sz w:val="22"/>
          <w:szCs w:val="22"/>
        </w:rPr>
      </w:pPr>
    </w:p>
    <w:p w14:paraId="6664A934" w14:textId="77777777" w:rsidR="007E75C5" w:rsidRPr="002F5F6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b/>
          <w:color w:val="000000"/>
          <w:sz w:val="22"/>
          <w:szCs w:val="22"/>
        </w:rPr>
      </w:pPr>
    </w:p>
    <w:p w14:paraId="3EBC12B9" w14:textId="77777777" w:rsidR="007E75C5" w:rsidRPr="002F5F6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b/>
          <w:color w:val="000000"/>
          <w:sz w:val="22"/>
          <w:szCs w:val="22"/>
        </w:rPr>
      </w:pPr>
      <w:r w:rsidRPr="002F5F65">
        <w:rPr>
          <w:b/>
          <w:color w:val="000000"/>
          <w:sz w:val="22"/>
          <w:szCs w:val="22"/>
        </w:rPr>
        <w:t>Montage:</w:t>
      </w:r>
    </w:p>
    <w:p w14:paraId="50270D16" w14:textId="77777777" w:rsidR="007E75C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color w:val="000000"/>
          <w:sz w:val="22"/>
          <w:szCs w:val="22"/>
        </w:rPr>
      </w:pPr>
    </w:p>
    <w:p w14:paraId="6EB055A0" w14:textId="3556DDD6"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r w:rsidRPr="002F5F65">
        <w:rPr>
          <w:color w:val="000000"/>
          <w:sz w:val="22"/>
          <w:szCs w:val="22"/>
        </w:rPr>
        <w:t xml:space="preserve">Der Ausgleich von Bewegungen durch Temperaturveränderungen, Windlasten und Bauwerksverformungen muss gewährleistet sein. Die Befestigung muss mit einem geeigneten Befestigungssystem spannungsfrei erfolgen. Auf die Folienoberfläche darf z.B. </w:t>
      </w:r>
      <w:r w:rsidRPr="002F5F65">
        <w:rPr>
          <w:color w:val="000000"/>
          <w:sz w:val="22"/>
          <w:szCs w:val="22"/>
        </w:rPr>
        <w:lastRenderedPageBreak/>
        <w:t xml:space="preserve">durch Schrauben oder Nieten keine Druckspannung ausgeübt werden, um </w:t>
      </w:r>
      <w:proofErr w:type="spellStart"/>
      <w:r w:rsidRPr="002F5F65">
        <w:rPr>
          <w:color w:val="000000"/>
          <w:sz w:val="22"/>
          <w:szCs w:val="22"/>
        </w:rPr>
        <w:t>Folienverschub</w:t>
      </w:r>
      <w:proofErr w:type="spellEnd"/>
      <w:r w:rsidRPr="002F5F65">
        <w:rPr>
          <w:color w:val="000000"/>
          <w:sz w:val="22"/>
          <w:szCs w:val="22"/>
        </w:rPr>
        <w:t xml:space="preserve"> zu vermeiden. Die Vorgaben des Herstellers zur Montage sind einzuhalten.</w:t>
      </w:r>
    </w:p>
    <w:p w14:paraId="7E7CC393" w14:textId="77777777" w:rsidR="00123308" w:rsidRDefault="00123308"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339D1DA3" w14:textId="77777777" w:rsidR="00123308" w:rsidRDefault="00123308"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2D86BC80" w14:textId="7F8723FE" w:rsidR="00123308" w:rsidRPr="00123308" w:rsidRDefault="00123308"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r w:rsidRPr="00123308">
        <w:rPr>
          <w:color w:val="000000"/>
          <w:sz w:val="22"/>
          <w:szCs w:val="22"/>
        </w:rPr>
        <w:t>Dieses Leistungsverzeichnis über Verkleidungen geht etwaigen von den Parteien verwendeten Allgemeinen Geschäftsbedingungen vor.</w:t>
      </w:r>
    </w:p>
    <w:sectPr w:rsidR="00123308" w:rsidRPr="00123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C5"/>
    <w:rsid w:val="00123308"/>
    <w:rsid w:val="001C4D2A"/>
    <w:rsid w:val="001F2086"/>
    <w:rsid w:val="0039470F"/>
    <w:rsid w:val="003E2D49"/>
    <w:rsid w:val="007E75C5"/>
    <w:rsid w:val="00D47EB7"/>
    <w:rsid w:val="00F86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435F"/>
  <w15:chartTrackingRefBased/>
  <w15:docId w15:val="{89233423-A95E-43A5-8CD4-A08ECE1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5C5"/>
    <w:pPr>
      <w:spacing w:after="0" w:line="240" w:lineRule="auto"/>
    </w:pPr>
    <w:rPr>
      <w:rFonts w:ascii="Times New Roman" w:eastAsia="Times New Roman" w:hAnsi="Times New Roman"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uiPriority w:val="99"/>
    <w:rsid w:val="007E75C5"/>
    <w:pPr>
      <w:spacing w:after="0" w:line="240" w:lineRule="auto"/>
    </w:pPr>
    <w:rPr>
      <w:rFonts w:ascii="Arial" w:eastAsia="Times New Roman" w:hAnsi="Arial" w:cs="Arial"/>
      <w:sz w:val="24"/>
      <w:szCs w:val="20"/>
      <w:lang w:eastAsia="de-DE"/>
    </w:rPr>
  </w:style>
  <w:style w:type="table" w:styleId="Tabellenraster">
    <w:name w:val="Table Grid"/>
    <w:basedOn w:val="NormaleTabelle"/>
    <w:uiPriority w:val="59"/>
    <w:rsid w:val="007E75C5"/>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Wiechers</dc:creator>
  <cp:keywords/>
  <dc:description/>
  <cp:lastModifiedBy>Arvaniti, Dimitra</cp:lastModifiedBy>
  <cp:revision>2</cp:revision>
  <dcterms:created xsi:type="dcterms:W3CDTF">2024-06-25T13:49:00Z</dcterms:created>
  <dcterms:modified xsi:type="dcterms:W3CDTF">2024-06-25T13:49:00Z</dcterms:modified>
</cp:coreProperties>
</file>